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ookmark=id.30j0zll" w:colFirst="0" w:colLast="0"/>
    <w:bookmarkStart w:id="1" w:name="bookmark=id.gjdgxs" w:colFirst="0" w:colLast="0"/>
    <w:bookmarkEnd w:id="0"/>
    <w:bookmarkEnd w:id="1"/>
    <w:p w14:paraId="2FEBE5FE" w14:textId="77777777" w:rsidR="00E6349B" w:rsidRDefault="00000000">
      <w:r>
        <w:rPr>
          <w:noProof/>
        </w:rPr>
        <mc:AlternateContent>
          <mc:Choice Requires="wpg">
            <w:drawing>
              <wp:anchor distT="0" distB="0" distL="114300" distR="114300" simplePos="0" relativeHeight="251658240" behindDoc="0" locked="0" layoutInCell="1" hidden="0" allowOverlap="1" wp14:anchorId="2EF60074" wp14:editId="2E7C3490">
                <wp:simplePos x="0" y="0"/>
                <wp:positionH relativeFrom="page">
                  <wp:posOffset>228600</wp:posOffset>
                </wp:positionH>
                <wp:positionV relativeFrom="page">
                  <wp:posOffset>250190</wp:posOffset>
                </wp:positionV>
                <wp:extent cx="7315200" cy="1215391"/>
                <wp:effectExtent l="0" t="0" r="0" b="0"/>
                <wp:wrapNone/>
                <wp:docPr id="4" name="Group 4"/>
                <wp:cNvGraphicFramePr/>
                <a:graphic xmlns:a="http://schemas.openxmlformats.org/drawingml/2006/main">
                  <a:graphicData uri="http://schemas.microsoft.com/office/word/2010/wordprocessingGroup">
                    <wpg:wgp>
                      <wpg:cNvGrpSpPr/>
                      <wpg:grpSpPr>
                        <a:xfrm>
                          <a:off x="0" y="0"/>
                          <a:ext cx="7315200" cy="1215391"/>
                          <a:chOff x="1688400" y="3172300"/>
                          <a:chExt cx="7315200" cy="1215400"/>
                        </a:xfrm>
                      </wpg:grpSpPr>
                      <wpg:grpSp>
                        <wpg:cNvPr id="1" name="Group 1"/>
                        <wpg:cNvGrpSpPr/>
                        <wpg:grpSpPr>
                          <a:xfrm>
                            <a:off x="1688400" y="3172305"/>
                            <a:ext cx="7315200" cy="1215391"/>
                            <a:chOff x="1688400" y="3172305"/>
                            <a:chExt cx="7315200" cy="1215391"/>
                          </a:xfrm>
                        </wpg:grpSpPr>
                        <wps:wsp>
                          <wps:cNvPr id="2" name="Rectangle 2"/>
                          <wps:cNvSpPr/>
                          <wps:spPr>
                            <a:xfrm>
                              <a:off x="1688400" y="3172305"/>
                              <a:ext cx="7315200" cy="1215375"/>
                            </a:xfrm>
                            <a:prstGeom prst="rect">
                              <a:avLst/>
                            </a:prstGeom>
                            <a:noFill/>
                            <a:ln>
                              <a:noFill/>
                            </a:ln>
                          </wps:spPr>
                          <wps:txbx>
                            <w:txbxContent>
                              <w:p w14:paraId="7F06C46A" w14:textId="77777777" w:rsidR="00E6349B" w:rsidRDefault="00E6349B">
                                <w:pPr>
                                  <w:spacing w:after="0"/>
                                  <w:textDirection w:val="btLr"/>
                                </w:pPr>
                              </w:p>
                            </w:txbxContent>
                          </wps:txbx>
                          <wps:bodyPr spcFirstLastPara="1" wrap="square" lIns="91425" tIns="91425" rIns="91425" bIns="91425" anchor="ctr" anchorCtr="0">
                            <a:noAutofit/>
                          </wps:bodyPr>
                        </wps:wsp>
                        <wpg:grpSp>
                          <wpg:cNvPr id="3" name="Group 3"/>
                          <wpg:cNvGrpSpPr/>
                          <wpg:grpSpPr>
                            <a:xfrm>
                              <a:off x="1688400" y="3172305"/>
                              <a:ext cx="7315200" cy="1215391"/>
                              <a:chOff x="0" y="-1"/>
                              <a:chExt cx="7315200" cy="1216153"/>
                            </a:xfrm>
                          </wpg:grpSpPr>
                          <wps:wsp>
                            <wps:cNvPr id="5" name="Rectangle 5"/>
                            <wps:cNvSpPr/>
                            <wps:spPr>
                              <a:xfrm>
                                <a:off x="0" y="-1"/>
                                <a:ext cx="7315200" cy="1216150"/>
                              </a:xfrm>
                              <a:prstGeom prst="rect">
                                <a:avLst/>
                              </a:prstGeom>
                              <a:noFill/>
                              <a:ln>
                                <a:noFill/>
                              </a:ln>
                            </wps:spPr>
                            <wps:txbx>
                              <w:txbxContent>
                                <w:p w14:paraId="37555D59" w14:textId="77777777" w:rsidR="00E6349B" w:rsidRDefault="00E6349B">
                                  <w:pPr>
                                    <w:spacing w:after="0"/>
                                    <w:textDirection w:val="btLr"/>
                                  </w:pPr>
                                </w:p>
                              </w:txbxContent>
                            </wps:txbx>
                            <wps:bodyPr spcFirstLastPara="1" wrap="square" lIns="91425" tIns="91425" rIns="91425" bIns="91425" anchor="ctr" anchorCtr="0">
                              <a:noAutofit/>
                            </wps:bodyPr>
                          </wps:wsp>
                          <wps:wsp>
                            <wps:cNvPr id="6" name="Freeform: Shape 6"/>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7" name="Rectangle 7"/>
                            <wps:cNvSpPr/>
                            <wps:spPr>
                              <a:xfrm>
                                <a:off x="0" y="0"/>
                                <a:ext cx="7315200" cy="1216152"/>
                              </a:xfrm>
                              <a:prstGeom prst="rect">
                                <a:avLst/>
                              </a:prstGeom>
                              <a:blipFill rotWithShape="1">
                                <a:blip r:embed="rId6">
                                  <a:alphaModFix/>
                                </a:blip>
                                <a:stretch>
                                  <a:fillRect r="-7571"/>
                                </a:stretch>
                              </a:blipFill>
                              <a:ln>
                                <a:noFill/>
                              </a:ln>
                            </wps:spPr>
                            <wps:txbx>
                              <w:txbxContent>
                                <w:p w14:paraId="2F97137B" w14:textId="77777777" w:rsidR="00E6349B" w:rsidRDefault="00E6349B">
                                  <w:pPr>
                                    <w:spacing w:after="0"/>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228600</wp:posOffset>
                </wp:positionH>
                <wp:positionV relativeFrom="page">
                  <wp:posOffset>250190</wp:posOffset>
                </wp:positionV>
                <wp:extent cx="7315200" cy="1215391"/>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15200" cy="1215391"/>
                        </a:xfrm>
                        <a:prstGeom prst="rect"/>
                        <a:ln/>
                      </pic:spPr>
                    </pic:pic>
                  </a:graphicData>
                </a:graphic>
              </wp:anchor>
            </w:drawing>
          </mc:Fallback>
        </mc:AlternateContent>
      </w:r>
    </w:p>
    <w:p w14:paraId="07E305C3" w14:textId="77777777" w:rsidR="00E6349B" w:rsidRDefault="00E6349B">
      <w:pPr>
        <w:rPr>
          <w:color w:val="7030A0"/>
        </w:rPr>
      </w:pPr>
    </w:p>
    <w:p w14:paraId="2B60BE11" w14:textId="77777777" w:rsidR="00E6349B" w:rsidRDefault="00E6349B">
      <w:pPr>
        <w:rPr>
          <w:color w:val="7030A0"/>
        </w:rPr>
      </w:pPr>
    </w:p>
    <w:p w14:paraId="39685CCE" w14:textId="77777777" w:rsidR="00E6349B" w:rsidRDefault="00000000">
      <w:pPr>
        <w:jc w:val="center"/>
        <w:rPr>
          <w:color w:val="7030A0"/>
        </w:rPr>
      </w:pPr>
      <w:r>
        <w:rPr>
          <w:noProof/>
        </w:rPr>
        <w:drawing>
          <wp:inline distT="114300" distB="114300" distL="114300" distR="114300" wp14:anchorId="6DF94AA8" wp14:editId="0FB200C7">
            <wp:extent cx="2752725" cy="36004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52725" cy="3600450"/>
                    </a:xfrm>
                    <a:prstGeom prst="rect">
                      <a:avLst/>
                    </a:prstGeom>
                    <a:ln/>
                  </pic:spPr>
                </pic:pic>
              </a:graphicData>
            </a:graphic>
          </wp:inline>
        </w:drawing>
      </w:r>
    </w:p>
    <w:p w14:paraId="73BD2160" w14:textId="77777777" w:rsidR="00E6349B" w:rsidRDefault="00000000">
      <w:pPr>
        <w:jc w:val="center"/>
        <w:rPr>
          <w:color w:val="7030A0"/>
        </w:rPr>
      </w:pPr>
      <w:r>
        <w:rPr>
          <w:rFonts w:ascii="Century Gothic" w:eastAsia="Century Gothic" w:hAnsi="Century Gothic" w:cs="Century Gothic"/>
          <w:b/>
          <w:color w:val="7030A0"/>
          <w:sz w:val="48"/>
          <w:szCs w:val="48"/>
        </w:rPr>
        <w:t>SMOKING POLICY</w:t>
      </w: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6349B" w14:paraId="1488AA7C" w14:textId="77777777">
        <w:tc>
          <w:tcPr>
            <w:tcW w:w="4675" w:type="dxa"/>
            <w:vAlign w:val="center"/>
          </w:tcPr>
          <w:p w14:paraId="39B65836" w14:textId="77777777" w:rsidR="00E6349B" w:rsidRDefault="00E6349B">
            <w:pPr>
              <w:jc w:val="center"/>
              <w:rPr>
                <w:color w:val="7030A0"/>
              </w:rPr>
            </w:pPr>
          </w:p>
          <w:p w14:paraId="2362DEAB" w14:textId="77777777" w:rsidR="00E6349B" w:rsidRDefault="00000000">
            <w:pPr>
              <w:jc w:val="center"/>
              <w:rPr>
                <w:color w:val="7030A0"/>
              </w:rPr>
            </w:pPr>
            <w:r>
              <w:rPr>
                <w:color w:val="7030A0"/>
              </w:rPr>
              <w:t>DATE OF POLICY</w:t>
            </w:r>
          </w:p>
        </w:tc>
        <w:tc>
          <w:tcPr>
            <w:tcW w:w="4675" w:type="dxa"/>
            <w:vAlign w:val="center"/>
          </w:tcPr>
          <w:p w14:paraId="230511CD" w14:textId="77777777" w:rsidR="00E6349B" w:rsidRDefault="00000000">
            <w:pPr>
              <w:jc w:val="center"/>
              <w:rPr>
                <w:color w:val="7030A0"/>
              </w:rPr>
            </w:pPr>
            <w:r>
              <w:rPr>
                <w:color w:val="7030A0"/>
              </w:rPr>
              <w:t>20/9/2023</w:t>
            </w:r>
          </w:p>
        </w:tc>
      </w:tr>
      <w:tr w:rsidR="00E6349B" w14:paraId="4847CE94" w14:textId="77777777">
        <w:tc>
          <w:tcPr>
            <w:tcW w:w="4675" w:type="dxa"/>
            <w:vAlign w:val="center"/>
          </w:tcPr>
          <w:p w14:paraId="5A0115B0" w14:textId="77777777" w:rsidR="00E6349B" w:rsidRDefault="00E6349B">
            <w:pPr>
              <w:jc w:val="center"/>
              <w:rPr>
                <w:color w:val="7030A0"/>
              </w:rPr>
            </w:pPr>
          </w:p>
          <w:p w14:paraId="76A9D514" w14:textId="77777777" w:rsidR="00E6349B" w:rsidRDefault="00000000">
            <w:pPr>
              <w:jc w:val="center"/>
              <w:rPr>
                <w:color w:val="7030A0"/>
              </w:rPr>
            </w:pPr>
            <w:r>
              <w:rPr>
                <w:color w:val="7030A0"/>
              </w:rPr>
              <w:t>REVIEWED DATE</w:t>
            </w:r>
          </w:p>
        </w:tc>
        <w:tc>
          <w:tcPr>
            <w:tcW w:w="4675" w:type="dxa"/>
            <w:vAlign w:val="center"/>
          </w:tcPr>
          <w:p w14:paraId="6C605FCB" w14:textId="77777777" w:rsidR="00E6349B" w:rsidRDefault="00000000">
            <w:pPr>
              <w:jc w:val="center"/>
              <w:rPr>
                <w:color w:val="7030A0"/>
              </w:rPr>
            </w:pPr>
            <w:r>
              <w:rPr>
                <w:color w:val="7030A0"/>
              </w:rPr>
              <w:t>20/09/2023</w:t>
            </w:r>
          </w:p>
        </w:tc>
      </w:tr>
      <w:tr w:rsidR="00E6349B" w14:paraId="07F308E3" w14:textId="77777777">
        <w:tc>
          <w:tcPr>
            <w:tcW w:w="4675" w:type="dxa"/>
            <w:vAlign w:val="center"/>
          </w:tcPr>
          <w:p w14:paraId="05CCE9E6" w14:textId="77777777" w:rsidR="00E6349B" w:rsidRDefault="00E6349B">
            <w:pPr>
              <w:jc w:val="center"/>
              <w:rPr>
                <w:color w:val="7030A0"/>
              </w:rPr>
            </w:pPr>
          </w:p>
          <w:p w14:paraId="2135BFC6" w14:textId="77777777" w:rsidR="00E6349B" w:rsidRDefault="00000000">
            <w:pPr>
              <w:jc w:val="center"/>
              <w:rPr>
                <w:color w:val="7030A0"/>
              </w:rPr>
            </w:pPr>
            <w:r>
              <w:rPr>
                <w:color w:val="7030A0"/>
              </w:rPr>
              <w:t>WRITTEN BY</w:t>
            </w:r>
          </w:p>
        </w:tc>
        <w:tc>
          <w:tcPr>
            <w:tcW w:w="4675" w:type="dxa"/>
            <w:vAlign w:val="center"/>
          </w:tcPr>
          <w:p w14:paraId="260AD0A5" w14:textId="77777777" w:rsidR="00E6349B" w:rsidRDefault="00000000">
            <w:pPr>
              <w:jc w:val="center"/>
              <w:rPr>
                <w:color w:val="7030A0"/>
              </w:rPr>
            </w:pPr>
            <w:r>
              <w:rPr>
                <w:color w:val="7030A0"/>
              </w:rPr>
              <w:t>Grace Speakman</w:t>
            </w:r>
          </w:p>
        </w:tc>
      </w:tr>
      <w:tr w:rsidR="00E6349B" w14:paraId="42ABF783" w14:textId="77777777">
        <w:tc>
          <w:tcPr>
            <w:tcW w:w="4675" w:type="dxa"/>
            <w:vAlign w:val="center"/>
          </w:tcPr>
          <w:p w14:paraId="11A88FC2" w14:textId="77777777" w:rsidR="00E6349B" w:rsidRDefault="00E6349B">
            <w:pPr>
              <w:jc w:val="center"/>
              <w:rPr>
                <w:color w:val="7030A0"/>
              </w:rPr>
            </w:pPr>
          </w:p>
          <w:p w14:paraId="0A9FCE29" w14:textId="77777777" w:rsidR="00E6349B" w:rsidRDefault="00000000">
            <w:pPr>
              <w:jc w:val="center"/>
              <w:rPr>
                <w:color w:val="7030A0"/>
              </w:rPr>
            </w:pPr>
            <w:r>
              <w:rPr>
                <w:color w:val="7030A0"/>
              </w:rPr>
              <w:t>APPROVED BY</w:t>
            </w:r>
          </w:p>
        </w:tc>
        <w:tc>
          <w:tcPr>
            <w:tcW w:w="4675" w:type="dxa"/>
            <w:vAlign w:val="center"/>
          </w:tcPr>
          <w:p w14:paraId="2FB4B5B7" w14:textId="77777777" w:rsidR="00E6349B" w:rsidRDefault="00000000">
            <w:pPr>
              <w:jc w:val="center"/>
              <w:rPr>
                <w:color w:val="7030A0"/>
              </w:rPr>
            </w:pPr>
            <w:r>
              <w:rPr>
                <w:color w:val="7030A0"/>
              </w:rPr>
              <w:t>Rachel Duffy</w:t>
            </w:r>
          </w:p>
        </w:tc>
      </w:tr>
    </w:tbl>
    <w:p w14:paraId="5A4321BF" w14:textId="77777777" w:rsidR="00E6349B" w:rsidRDefault="00E6349B">
      <w:pPr>
        <w:jc w:val="center"/>
        <w:rPr>
          <w:color w:val="7030A0"/>
        </w:rPr>
      </w:pPr>
    </w:p>
    <w:p w14:paraId="5C728F53" w14:textId="77777777" w:rsidR="00E6349B" w:rsidRDefault="00000000">
      <w:pPr>
        <w:rPr>
          <w:color w:val="7030A0"/>
        </w:rPr>
      </w:pPr>
      <w:r>
        <w:rPr>
          <w:noProof/>
          <w:color w:val="7030A0"/>
        </w:rPr>
        <mc:AlternateContent>
          <mc:Choice Requires="wpg">
            <w:drawing>
              <wp:anchor distT="0" distB="0" distL="114300" distR="114300" simplePos="0" relativeHeight="251659264" behindDoc="0" locked="0" layoutInCell="1" hidden="0" allowOverlap="1" wp14:anchorId="3AD47B94" wp14:editId="0495B9D5">
                <wp:simplePos x="0" y="0"/>
                <wp:positionH relativeFrom="page">
                  <wp:posOffset>295275</wp:posOffset>
                </wp:positionH>
                <wp:positionV relativeFrom="page">
                  <wp:posOffset>8347249</wp:posOffset>
                </wp:positionV>
                <wp:extent cx="7334250" cy="10287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1688400" y="3275175"/>
                          <a:ext cx="7315200" cy="1009650"/>
                        </a:xfrm>
                        <a:prstGeom prst="rect">
                          <a:avLst/>
                        </a:prstGeom>
                        <a:noFill/>
                        <a:ln>
                          <a:noFill/>
                        </a:ln>
                      </wps:spPr>
                      <wps:txbx>
                        <w:txbxContent>
                          <w:p w14:paraId="29B408D1" w14:textId="77777777" w:rsidR="00E6349B" w:rsidRDefault="00000000">
                            <w:pPr>
                              <w:spacing w:after="0"/>
                              <w:jc w:val="right"/>
                              <w:textDirection w:val="btLr"/>
                            </w:pPr>
                            <w:r>
                              <w:rPr>
                                <w:rFonts w:ascii="Arial" w:eastAsia="Arial" w:hAnsi="Arial" w:cs="Arial"/>
                                <w:color w:val="4F81BD"/>
                                <w:sz w:val="28"/>
                              </w:rPr>
                              <w:t>Smoking Policy</w:t>
                            </w:r>
                          </w:p>
                          <w:p w14:paraId="7AC2FD35" w14:textId="77777777" w:rsidR="00E6349B" w:rsidRDefault="00000000">
                            <w:pPr>
                              <w:spacing w:after="0"/>
                              <w:jc w:val="right"/>
                              <w:textDirection w:val="btLr"/>
                            </w:pPr>
                            <w:r>
                              <w:rPr>
                                <w:rFonts w:ascii="Arial" w:eastAsia="Arial" w:hAnsi="Arial" w:cs="Arial"/>
                                <w:color w:val="0070C0"/>
                                <w:sz w:val="20"/>
                              </w:rPr>
                              <w:t>This document is to be used in conjunction with the Health and Safety Policy and Disciplinary Procedures Policy.  It is an important document and must be strictly adhered to.</w:t>
                            </w:r>
                          </w:p>
                        </w:txbxContent>
                      </wps:txbx>
                      <wps:bodyPr spcFirstLastPara="1" wrap="square" lIns="1600200" tIns="0" rIns="6858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295275</wp:posOffset>
                </wp:positionH>
                <wp:positionV relativeFrom="page">
                  <wp:posOffset>8347249</wp:posOffset>
                </wp:positionV>
                <wp:extent cx="7334250" cy="1028700"/>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334250" cy="1028700"/>
                        </a:xfrm>
                        <a:prstGeom prst="rect"/>
                        <a:ln/>
                      </pic:spPr>
                    </pic:pic>
                  </a:graphicData>
                </a:graphic>
              </wp:anchor>
            </w:drawing>
          </mc:Fallback>
        </mc:AlternateContent>
      </w:r>
      <w:r>
        <w:br w:type="page"/>
      </w:r>
    </w:p>
    <w:p w14:paraId="31F1556B" w14:textId="77777777" w:rsidR="00E6349B" w:rsidRDefault="00E6349B">
      <w:pPr>
        <w:jc w:val="center"/>
        <w:rPr>
          <w:rFonts w:ascii="Calibri" w:eastAsia="Calibri" w:hAnsi="Calibri" w:cs="Calibri"/>
          <w:b/>
          <w:color w:val="7030A0"/>
          <w:sz w:val="32"/>
          <w:szCs w:val="32"/>
        </w:rPr>
      </w:pPr>
    </w:p>
    <w:p w14:paraId="1266C3CA" w14:textId="77777777" w:rsidR="00E6349B" w:rsidRDefault="00E6349B">
      <w:pPr>
        <w:pStyle w:val="Heading1"/>
        <w:rPr>
          <w:color w:val="7030A0"/>
        </w:rPr>
      </w:pPr>
    </w:p>
    <w:p w14:paraId="0B71CEAA" w14:textId="77777777" w:rsidR="00E6349B" w:rsidRDefault="00000000">
      <w:pPr>
        <w:pStyle w:val="Heading1"/>
        <w:rPr>
          <w:color w:val="7030A0"/>
        </w:rPr>
      </w:pPr>
      <w:r>
        <w:rPr>
          <w:color w:val="7030A0"/>
        </w:rPr>
        <w:t>Smoking at Work Policy</w:t>
      </w:r>
    </w:p>
    <w:p w14:paraId="2811FEAA" w14:textId="77777777" w:rsidR="00E6349B" w:rsidRDefault="00000000">
      <w:pPr>
        <w:pStyle w:val="Heading2"/>
        <w:rPr>
          <w:color w:val="7030A0"/>
        </w:rPr>
      </w:pPr>
      <w:bookmarkStart w:id="2" w:name="bookmark=id.1fob9te" w:colFirst="0" w:colLast="0"/>
      <w:bookmarkEnd w:id="2"/>
      <w:r>
        <w:rPr>
          <w:color w:val="7030A0"/>
        </w:rPr>
        <w:t>Policy Statement</w:t>
      </w:r>
    </w:p>
    <w:p w14:paraId="55638E5B" w14:textId="77777777" w:rsidR="00E6349B" w:rsidRDefault="00000000">
      <w:pPr>
        <w:pBdr>
          <w:top w:val="nil"/>
          <w:left w:val="nil"/>
          <w:bottom w:val="nil"/>
          <w:right w:val="nil"/>
          <w:between w:val="nil"/>
        </w:pBdr>
        <w:spacing w:before="180" w:after="180"/>
        <w:rPr>
          <w:color w:val="000000"/>
        </w:rPr>
      </w:pPr>
      <w:r>
        <w:rPr>
          <w:color w:val="000000"/>
        </w:rPr>
        <w:t xml:space="preserve">This policy covers any workplace premises that are owned or controlled by the </w:t>
      </w:r>
      <w:proofErr w:type="spellStart"/>
      <w:r>
        <w:rPr>
          <w:color w:val="000000"/>
        </w:rPr>
        <w:t>organisation</w:t>
      </w:r>
      <w:proofErr w:type="spellEnd"/>
      <w:r>
        <w:rPr>
          <w:color w:val="000000"/>
        </w:rPr>
        <w:t xml:space="preserve">. The aim of the policy is to ensure that staff, </w:t>
      </w:r>
      <w:proofErr w:type="gramStart"/>
      <w:r>
        <w:rPr>
          <w:color w:val="000000"/>
        </w:rPr>
        <w:t>visitors</w:t>
      </w:r>
      <w:proofErr w:type="gramEnd"/>
      <w:r>
        <w:rPr>
          <w:color w:val="000000"/>
        </w:rPr>
        <w:t xml:space="preserve"> and customers are protected from the effects of smoking wherever possible.</w:t>
      </w:r>
    </w:p>
    <w:p w14:paraId="675927A7" w14:textId="77777777" w:rsidR="00E6349B" w:rsidRDefault="00000000">
      <w:pPr>
        <w:pBdr>
          <w:top w:val="nil"/>
          <w:left w:val="nil"/>
          <w:bottom w:val="nil"/>
          <w:right w:val="nil"/>
          <w:between w:val="nil"/>
        </w:pBdr>
        <w:spacing w:before="180" w:after="180"/>
        <w:rPr>
          <w:color w:val="000000"/>
        </w:rPr>
      </w:pPr>
      <w:r>
        <w:rPr>
          <w:color w:val="000000"/>
        </w:rPr>
        <w:t xml:space="preserve">In accordance with current legislation, and as part of its continuous review of health and safety matters, the </w:t>
      </w:r>
      <w:proofErr w:type="spellStart"/>
      <w:r>
        <w:rPr>
          <w:color w:val="000000"/>
        </w:rPr>
        <w:t>organisation</w:t>
      </w:r>
      <w:proofErr w:type="spellEnd"/>
      <w:r>
        <w:rPr>
          <w:color w:val="000000"/>
        </w:rPr>
        <w:t xml:space="preserve"> has considered the current evidence of the health risks associated with smoking and passive smoking, as well as the discomfort suffered by non-smokers exposed to tobacco smoke, and the legal position.</w:t>
      </w:r>
    </w:p>
    <w:p w14:paraId="62530F67" w14:textId="77777777" w:rsidR="00E6349B" w:rsidRDefault="00000000">
      <w:pPr>
        <w:pBdr>
          <w:top w:val="nil"/>
          <w:left w:val="nil"/>
          <w:bottom w:val="nil"/>
          <w:right w:val="nil"/>
          <w:between w:val="nil"/>
        </w:pBdr>
        <w:spacing w:before="180" w:after="180"/>
        <w:rPr>
          <w:color w:val="000000"/>
        </w:rPr>
      </w:pPr>
      <w:proofErr w:type="gramStart"/>
      <w:r>
        <w:rPr>
          <w:color w:val="000000"/>
        </w:rPr>
        <w:t>In order to</w:t>
      </w:r>
      <w:proofErr w:type="gramEnd"/>
      <w:r>
        <w:rPr>
          <w:color w:val="000000"/>
        </w:rPr>
        <w:t xml:space="preserve"> maintain a safe and comfortable working environment for everyone, the following policy has been introduced from 1</w:t>
      </w:r>
      <w:r>
        <w:rPr>
          <w:color w:val="000000"/>
          <w:vertAlign w:val="superscript"/>
        </w:rPr>
        <w:t>st</w:t>
      </w:r>
      <w:r>
        <w:rPr>
          <w:color w:val="000000"/>
        </w:rPr>
        <w:t xml:space="preserve"> September 2022.</w:t>
      </w:r>
    </w:p>
    <w:p w14:paraId="2782C52D" w14:textId="77777777" w:rsidR="00E6349B" w:rsidRDefault="00000000">
      <w:pPr>
        <w:pBdr>
          <w:top w:val="nil"/>
          <w:left w:val="nil"/>
          <w:bottom w:val="nil"/>
          <w:right w:val="nil"/>
          <w:between w:val="nil"/>
        </w:pBdr>
        <w:spacing w:before="180" w:after="180"/>
        <w:rPr>
          <w:color w:val="000000"/>
        </w:rPr>
      </w:pPr>
      <w:r>
        <w:rPr>
          <w:color w:val="000000"/>
        </w:rPr>
        <w:t xml:space="preserve">The aim of the smoking policy is to guarantee the right of non-smokers to breathe smoke-free air at work, while also </w:t>
      </w:r>
      <w:proofErr w:type="gramStart"/>
      <w:r>
        <w:rPr>
          <w:color w:val="000000"/>
        </w:rPr>
        <w:t>taking into account</w:t>
      </w:r>
      <w:proofErr w:type="gramEnd"/>
      <w:r>
        <w:rPr>
          <w:color w:val="000000"/>
        </w:rPr>
        <w:t xml:space="preserve"> the needs of those who smoke. The policy is not concerned with whether people smoke, but with where they smoke while at work.</w:t>
      </w:r>
    </w:p>
    <w:p w14:paraId="5ED31242" w14:textId="77777777" w:rsidR="00E6349B" w:rsidRDefault="00000000">
      <w:pPr>
        <w:pBdr>
          <w:top w:val="nil"/>
          <w:left w:val="nil"/>
          <w:bottom w:val="nil"/>
          <w:right w:val="nil"/>
          <w:between w:val="nil"/>
        </w:pBdr>
        <w:spacing w:before="180" w:after="180"/>
        <w:rPr>
          <w:color w:val="000000"/>
        </w:rPr>
      </w:pPr>
      <w:r>
        <w:rPr>
          <w:color w:val="000000"/>
        </w:rPr>
        <w:t>Any concerns employees may have regarding smoking at work should be reported immediately to a responsible person so that corrective action can be taken if necessary.</w:t>
      </w:r>
    </w:p>
    <w:p w14:paraId="62704FAE" w14:textId="77777777" w:rsidR="00E6349B" w:rsidRDefault="00000000">
      <w:pPr>
        <w:pStyle w:val="Heading2"/>
        <w:rPr>
          <w:color w:val="7030A0"/>
        </w:rPr>
      </w:pPr>
      <w:bookmarkStart w:id="3" w:name="bookmark=id.3znysh7" w:colFirst="0" w:colLast="0"/>
      <w:bookmarkEnd w:id="3"/>
      <w:r>
        <w:rPr>
          <w:color w:val="7030A0"/>
        </w:rPr>
        <w:t>Arrangements for Ensuring the Health and Safety of Workers</w:t>
      </w:r>
    </w:p>
    <w:p w14:paraId="09ADC106" w14:textId="77777777" w:rsidR="00E6349B" w:rsidRDefault="00000000">
      <w:pPr>
        <w:pBdr>
          <w:top w:val="nil"/>
          <w:left w:val="nil"/>
          <w:bottom w:val="nil"/>
          <w:right w:val="nil"/>
          <w:between w:val="nil"/>
        </w:pBdr>
        <w:spacing w:before="180" w:after="180"/>
        <w:rPr>
          <w:color w:val="000000"/>
        </w:rPr>
      </w:pPr>
      <w:r>
        <w:rPr>
          <w:color w:val="000000"/>
        </w:rPr>
        <w:t xml:space="preserve">The </w:t>
      </w:r>
      <w:proofErr w:type="spellStart"/>
      <w:r>
        <w:rPr>
          <w:color w:val="000000"/>
        </w:rPr>
        <w:t>organisation</w:t>
      </w:r>
      <w:proofErr w:type="spellEnd"/>
      <w:r>
        <w:rPr>
          <w:color w:val="000000"/>
        </w:rPr>
        <w:t xml:space="preserve"> recognises its legal responsibilities under smoke-free legislation to ensure that nobody smokes in premises that are owned or controlled by the </w:t>
      </w:r>
      <w:proofErr w:type="spellStart"/>
      <w:r>
        <w:rPr>
          <w:color w:val="000000"/>
        </w:rPr>
        <w:t>organisation</w:t>
      </w:r>
      <w:proofErr w:type="spellEnd"/>
      <w:r>
        <w:rPr>
          <w:color w:val="000000"/>
        </w:rPr>
        <w:t xml:space="preserve">. The </w:t>
      </w:r>
      <w:proofErr w:type="spellStart"/>
      <w:r>
        <w:rPr>
          <w:color w:val="000000"/>
        </w:rPr>
        <w:t>organisation</w:t>
      </w:r>
      <w:proofErr w:type="spellEnd"/>
      <w:r>
        <w:rPr>
          <w:color w:val="000000"/>
        </w:rPr>
        <w:t xml:space="preserve"> also recognises that smoking constitutes a fire risk and a hazard to the health of all its employees, both smokers and non-smokers (</w:t>
      </w:r>
      <w:proofErr w:type="gramStart"/>
      <w:r>
        <w:rPr>
          <w:color w:val="000000"/>
        </w:rPr>
        <w:t>as a result of</w:t>
      </w:r>
      <w:proofErr w:type="gramEnd"/>
      <w:r>
        <w:rPr>
          <w:color w:val="000000"/>
        </w:rPr>
        <w:t xml:space="preserve"> “passive smoking”).</w:t>
      </w:r>
    </w:p>
    <w:p w14:paraId="69D2AB7D" w14:textId="77777777" w:rsidR="00E6349B" w:rsidRDefault="00000000">
      <w:pPr>
        <w:pBdr>
          <w:top w:val="nil"/>
          <w:left w:val="nil"/>
          <w:bottom w:val="nil"/>
          <w:right w:val="nil"/>
          <w:between w:val="nil"/>
        </w:pBdr>
        <w:spacing w:before="180" w:after="180"/>
        <w:rPr>
          <w:color w:val="000000"/>
        </w:rPr>
      </w:pPr>
      <w:r>
        <w:rPr>
          <w:color w:val="000000"/>
        </w:rPr>
        <w:t xml:space="preserve">As a result of the above, </w:t>
      </w:r>
      <w:r>
        <w:rPr>
          <w:b/>
          <w:color w:val="000000"/>
        </w:rPr>
        <w:t>smoking will not be permitted in the premises, in the grounds or in any company vehicles</w:t>
      </w:r>
      <w:r>
        <w:rPr>
          <w:color w:val="000000"/>
        </w:rPr>
        <w:t xml:space="preserve">. This restriction </w:t>
      </w:r>
      <w:proofErr w:type="gramStart"/>
      <w:r>
        <w:rPr>
          <w:color w:val="000000"/>
        </w:rPr>
        <w:t>applies at all times</w:t>
      </w:r>
      <w:proofErr w:type="gramEnd"/>
      <w:r>
        <w:rPr>
          <w:color w:val="000000"/>
        </w:rPr>
        <w:t xml:space="preserve"> and applies to those on the premises, including outside normal working hours.</w:t>
      </w:r>
    </w:p>
    <w:p w14:paraId="5209CFF9" w14:textId="77777777" w:rsidR="00E6349B" w:rsidRDefault="00000000">
      <w:pPr>
        <w:pBdr>
          <w:top w:val="nil"/>
          <w:left w:val="nil"/>
          <w:bottom w:val="nil"/>
          <w:right w:val="nil"/>
          <w:between w:val="nil"/>
        </w:pBdr>
        <w:spacing w:before="180" w:after="180"/>
        <w:rPr>
          <w:color w:val="000000"/>
        </w:rPr>
      </w:pPr>
      <w:r>
        <w:rPr>
          <w:color w:val="000000"/>
        </w:rPr>
        <w:t xml:space="preserve">The use of e-cigarettes or similar is to be treated in the same way as real cigarettes and will fall within this policy. </w:t>
      </w:r>
    </w:p>
    <w:p w14:paraId="5D7C5D12" w14:textId="77777777" w:rsidR="00E6349B" w:rsidRDefault="00000000">
      <w:pPr>
        <w:pBdr>
          <w:top w:val="nil"/>
          <w:left w:val="nil"/>
          <w:bottom w:val="nil"/>
          <w:right w:val="nil"/>
          <w:between w:val="nil"/>
        </w:pBdr>
        <w:spacing w:before="180" w:after="180"/>
        <w:rPr>
          <w:color w:val="000000"/>
        </w:rPr>
      </w:pPr>
      <w:r>
        <w:rPr>
          <w:color w:val="000000"/>
        </w:rPr>
        <w:t xml:space="preserve">All visitors, temporary staff, </w:t>
      </w:r>
      <w:proofErr w:type="gramStart"/>
      <w:r>
        <w:rPr>
          <w:color w:val="000000"/>
        </w:rPr>
        <w:t>contractors</w:t>
      </w:r>
      <w:proofErr w:type="gramEnd"/>
      <w:r>
        <w:rPr>
          <w:color w:val="000000"/>
        </w:rPr>
        <w:t xml:space="preserve"> and clients will be expected to abide by the terms of the smoking policy. Appropriate “No Smoking” signs will be displayed at all entrances to the premises and employees should tactfully remind visitors of the policy, if necessary.</w:t>
      </w:r>
    </w:p>
    <w:p w14:paraId="070B5EAC" w14:textId="77777777" w:rsidR="00E6349B" w:rsidRDefault="00000000">
      <w:pPr>
        <w:pBdr>
          <w:top w:val="nil"/>
          <w:left w:val="nil"/>
          <w:bottom w:val="nil"/>
          <w:right w:val="nil"/>
          <w:between w:val="nil"/>
        </w:pBdr>
        <w:spacing w:before="180" w:after="180"/>
      </w:pPr>
      <w:r>
        <w:rPr>
          <w:color w:val="000000"/>
        </w:rPr>
        <w:lastRenderedPageBreak/>
        <w:t>Anyone wishing to smoke may do so on the provis</w:t>
      </w:r>
      <w:r>
        <w:t>ion</w:t>
      </w:r>
      <w:r>
        <w:rPr>
          <w:color w:val="000000"/>
        </w:rPr>
        <w:t xml:space="preserve"> that they do so in the</w:t>
      </w:r>
      <w:r>
        <w:t>ir own time, not</w:t>
      </w:r>
      <w:r>
        <w:rPr>
          <w:color w:val="000000"/>
        </w:rPr>
        <w:t xml:space="preserve"> be seen by students or within a </w:t>
      </w:r>
      <w:r>
        <w:t>predefined</w:t>
      </w:r>
      <w:r>
        <w:rPr>
          <w:color w:val="000000"/>
        </w:rPr>
        <w:t xml:space="preserve"> radius of the school building(s)</w:t>
      </w:r>
      <w:r>
        <w:t xml:space="preserve"> and should not be in groups of two or more at one time.</w:t>
      </w:r>
    </w:p>
    <w:p w14:paraId="5A3BABDF" w14:textId="77777777" w:rsidR="00E6349B" w:rsidRDefault="00000000">
      <w:pPr>
        <w:pStyle w:val="Heading2"/>
        <w:rPr>
          <w:color w:val="7030A0"/>
        </w:rPr>
      </w:pPr>
      <w:bookmarkStart w:id="4" w:name="bookmark=id.2et92p0" w:colFirst="0" w:colLast="0"/>
      <w:bookmarkEnd w:id="4"/>
      <w:r>
        <w:rPr>
          <w:color w:val="7030A0"/>
        </w:rPr>
        <w:t>Support for Smokers</w:t>
      </w:r>
    </w:p>
    <w:p w14:paraId="3E3D7D7A" w14:textId="77777777" w:rsidR="00E6349B" w:rsidRDefault="00000000">
      <w:pPr>
        <w:pBdr>
          <w:top w:val="nil"/>
          <w:left w:val="nil"/>
          <w:bottom w:val="nil"/>
          <w:right w:val="nil"/>
          <w:between w:val="nil"/>
        </w:pBdr>
        <w:spacing w:before="180" w:after="180"/>
        <w:rPr>
          <w:color w:val="000000"/>
        </w:rPr>
      </w:pPr>
      <w:r>
        <w:rPr>
          <w:color w:val="000000"/>
        </w:rPr>
        <w:t xml:space="preserve">It is recognised that some smokers will need to adjust to this policy and may welcome some support. If you would like further information or advice about coping with the </w:t>
      </w:r>
      <w:proofErr w:type="gramStart"/>
      <w:r>
        <w:rPr>
          <w:color w:val="000000"/>
        </w:rPr>
        <w:t>policy, or</w:t>
      </w:r>
      <w:proofErr w:type="gramEnd"/>
      <w:r>
        <w:rPr>
          <w:color w:val="000000"/>
        </w:rPr>
        <w:t xml:space="preserve"> would like to use this opportunity to give up smoking, please contact </w:t>
      </w:r>
      <w:r>
        <w:t>our HR Manager</w:t>
      </w:r>
      <w:r>
        <w:rPr>
          <w:color w:val="000000"/>
        </w:rPr>
        <w:t>.</w:t>
      </w:r>
    </w:p>
    <w:p w14:paraId="580387A3" w14:textId="77777777" w:rsidR="00E6349B" w:rsidRDefault="00000000">
      <w:pPr>
        <w:pBdr>
          <w:top w:val="nil"/>
          <w:left w:val="nil"/>
          <w:bottom w:val="nil"/>
          <w:right w:val="nil"/>
          <w:between w:val="nil"/>
        </w:pBdr>
        <w:spacing w:before="180" w:after="180"/>
        <w:rPr>
          <w:color w:val="000000"/>
        </w:rPr>
      </w:pPr>
      <w:r>
        <w:rPr>
          <w:color w:val="000000"/>
        </w:rPr>
        <w:t>Please note that from 1</w:t>
      </w:r>
      <w:r>
        <w:rPr>
          <w:color w:val="000000"/>
          <w:vertAlign w:val="superscript"/>
        </w:rPr>
        <w:t>st</w:t>
      </w:r>
      <w:r>
        <w:rPr>
          <w:color w:val="000000"/>
        </w:rPr>
        <w:t xml:space="preserve"> September 2022 this smoking policy will form part of the health and safety policy. Any employee who ignores the smoking ban or breaches the terms and conditions set out in this policy, will be treated in accordance with the disciplinary procedure and, in the case of repeated offences, may be dismissed from the </w:t>
      </w:r>
      <w:proofErr w:type="spellStart"/>
      <w:r>
        <w:rPr>
          <w:color w:val="000000"/>
        </w:rPr>
        <w:t>organisation’s</w:t>
      </w:r>
      <w:proofErr w:type="spellEnd"/>
      <w:r>
        <w:rPr>
          <w:color w:val="000000"/>
        </w:rPr>
        <w:t xml:space="preserve"> employ.</w:t>
      </w:r>
    </w:p>
    <w:p w14:paraId="1A775BA6" w14:textId="77777777" w:rsidR="00E6349B" w:rsidRDefault="00000000">
      <w:pPr>
        <w:pBdr>
          <w:top w:val="nil"/>
          <w:left w:val="nil"/>
          <w:bottom w:val="nil"/>
          <w:right w:val="nil"/>
          <w:between w:val="nil"/>
        </w:pBdr>
        <w:spacing w:before="180" w:after="180"/>
        <w:rPr>
          <w:color w:val="000000"/>
        </w:rPr>
      </w:pPr>
      <w:r>
        <w:rPr>
          <w:color w:val="000000"/>
        </w:rPr>
        <w:t>The HR department will be responsible for informing all job applicants of this rule before offers of appointment are made or accepted. Information on the policy will be:</w:t>
      </w:r>
    </w:p>
    <w:p w14:paraId="7003A434" w14:textId="77777777" w:rsidR="00E6349B" w:rsidRDefault="00000000">
      <w:pPr>
        <w:numPr>
          <w:ilvl w:val="0"/>
          <w:numId w:val="1"/>
        </w:numPr>
      </w:pPr>
      <w:r>
        <w:t xml:space="preserve">circulated to all </w:t>
      </w:r>
      <w:proofErr w:type="gramStart"/>
      <w:r>
        <w:t>staff</w:t>
      </w:r>
      <w:proofErr w:type="gramEnd"/>
    </w:p>
    <w:p w14:paraId="56BF41DF" w14:textId="77777777" w:rsidR="00E6349B" w:rsidRDefault="00000000">
      <w:pPr>
        <w:numPr>
          <w:ilvl w:val="0"/>
          <w:numId w:val="1"/>
        </w:numPr>
      </w:pPr>
      <w:r>
        <w:t xml:space="preserve">provided to all new </w:t>
      </w:r>
      <w:proofErr w:type="gramStart"/>
      <w:r>
        <w:t>employees</w:t>
      </w:r>
      <w:proofErr w:type="gramEnd"/>
    </w:p>
    <w:p w14:paraId="024EDFE8" w14:textId="77777777" w:rsidR="00E6349B" w:rsidRDefault="00000000">
      <w:pPr>
        <w:numPr>
          <w:ilvl w:val="0"/>
          <w:numId w:val="1"/>
        </w:numPr>
      </w:pPr>
      <w:r>
        <w:t xml:space="preserve">included in the health and safety </w:t>
      </w:r>
      <w:proofErr w:type="gramStart"/>
      <w:r>
        <w:t>policy</w:t>
      </w:r>
      <w:proofErr w:type="gramEnd"/>
    </w:p>
    <w:p w14:paraId="26F07D3B" w14:textId="77777777" w:rsidR="00E6349B" w:rsidRDefault="00000000">
      <w:pPr>
        <w:numPr>
          <w:ilvl w:val="0"/>
          <w:numId w:val="1"/>
        </w:numPr>
      </w:pPr>
      <w:r>
        <w:t xml:space="preserve">included in handbooks, information packs and on the </w:t>
      </w:r>
      <w:proofErr w:type="spellStart"/>
      <w:r>
        <w:t>organisation’s</w:t>
      </w:r>
      <w:proofErr w:type="spellEnd"/>
      <w:r>
        <w:t xml:space="preserve"> website.</w:t>
      </w:r>
    </w:p>
    <w:p w14:paraId="730111E1" w14:textId="77777777" w:rsidR="00E6349B" w:rsidRDefault="00E6349B"/>
    <w:p w14:paraId="0B17E698" w14:textId="77777777" w:rsidR="00E6349B" w:rsidRDefault="00E6349B"/>
    <w:sectPr w:rsidR="00E6349B">
      <w:pgSz w:w="12240" w:h="15840"/>
      <w:pgMar w:top="1440" w:right="1440" w:bottom="1440"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11C8"/>
    <w:multiLevelType w:val="multilevel"/>
    <w:tmpl w:val="8E34DD00"/>
    <w:lvl w:ilvl="0">
      <w:numFmt w:val="bullet"/>
      <w:lvlText w:val="•"/>
      <w:lvlJc w:val="left"/>
      <w:pPr>
        <w:ind w:left="480" w:hanging="480"/>
      </w:pPr>
    </w:lvl>
    <w:lvl w:ilvl="1">
      <w:numFmt w:val="bullet"/>
      <w:lvlText w:val="–"/>
      <w:lvlJc w:val="left"/>
      <w:pPr>
        <w:ind w:left="1200" w:hanging="480"/>
      </w:pPr>
    </w:lvl>
    <w:lvl w:ilvl="2">
      <w:numFmt w:val="bullet"/>
      <w:lvlText w:val="•"/>
      <w:lvlJc w:val="left"/>
      <w:pPr>
        <w:ind w:left="1920" w:hanging="480"/>
      </w:pPr>
    </w:lvl>
    <w:lvl w:ilvl="3">
      <w:numFmt w:val="bullet"/>
      <w:lvlText w:val="–"/>
      <w:lvlJc w:val="left"/>
      <w:pPr>
        <w:ind w:left="2640" w:hanging="480"/>
      </w:pPr>
    </w:lvl>
    <w:lvl w:ilvl="4">
      <w:numFmt w:val="bullet"/>
      <w:lvlText w:val="•"/>
      <w:lvlJc w:val="left"/>
      <w:pPr>
        <w:ind w:left="3360" w:hanging="480"/>
      </w:pPr>
    </w:lvl>
    <w:lvl w:ilvl="5">
      <w:numFmt w:val="bullet"/>
      <w:lvlText w:val="–"/>
      <w:lvlJc w:val="left"/>
      <w:pPr>
        <w:ind w:left="4080" w:hanging="480"/>
      </w:pPr>
    </w:lvl>
    <w:lvl w:ilvl="6">
      <w:numFmt w:val="bullet"/>
      <w:lvlText w:val="•"/>
      <w:lvlJc w:val="left"/>
      <w:pPr>
        <w:ind w:left="4800" w:hanging="480"/>
      </w:pPr>
    </w:lvl>
    <w:lvl w:ilvl="7">
      <w:numFmt w:val="bullet"/>
      <w:lvlText w:val="–"/>
      <w:lvlJc w:val="left"/>
      <w:pPr>
        <w:ind w:left="5520" w:hanging="480"/>
      </w:pPr>
    </w:lvl>
    <w:lvl w:ilvl="8">
      <w:numFmt w:val="bullet"/>
      <w:lvlText w:val="•"/>
      <w:lvlJc w:val="left"/>
      <w:pPr>
        <w:ind w:left="6240" w:hanging="480"/>
      </w:pPr>
    </w:lvl>
  </w:abstractNum>
  <w:num w:numId="1" w16cid:durableId="131205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9B"/>
    <w:rsid w:val="00E6349B"/>
    <w:rsid w:val="00F2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7D8A"/>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32"/>
      <w:szCs w:val="32"/>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i/>
      <w:color w:val="4F81BD"/>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jL4iQSwC9TZQuTcxOipD7l29Ig==">CgMxLjAyCmlkLjMwajB6bGwyCWlkLmdqZGd4czIKaWQuMWZvYjl0ZTIKaWQuM3pueXNoNzIKaWQuMmV0OTJwMDgAciExY3F0OHRUSU5ZdVo1dkZCdWdhT1NRYlhJSFJXaUswZ1Y=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2024-04-16T21:03:00Z</dcterms:created>
  <dcterms:modified xsi:type="dcterms:W3CDTF">2024-04-16T21:03:00Z</dcterms:modified>
</cp:coreProperties>
</file>